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48895</wp:posOffset>
            </wp:positionV>
            <wp:extent cx="1714500" cy="1901825"/>
            <wp:effectExtent l="0" t="0" r="0" b="0"/>
            <wp:wrapNone/>
            <wp:docPr id="2" name="Picture 12" descr="认证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2" descr="认证logo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t xml:space="preserve">                                                                       </w:t>
      </w:r>
    </w:p>
    <w:p/>
    <w:p>
      <w:pPr>
        <w:spacing w:line="0" w:lineRule="atLeast"/>
        <w:rPr>
          <w:rFonts w:ascii="宋体" w:hAnsi="宋体"/>
          <w:sz w:val="48"/>
        </w:rPr>
      </w:pPr>
    </w:p>
    <w:p>
      <w:pPr>
        <w:spacing w:line="0" w:lineRule="atLeast"/>
        <w:rPr>
          <w:rFonts w:ascii="宋体" w:hAnsi="宋体"/>
          <w:sz w:val="48"/>
        </w:rPr>
      </w:pPr>
    </w:p>
    <w:p>
      <w:pPr>
        <w:spacing w:line="0" w:lineRule="atLeast"/>
        <w:rPr>
          <w:rFonts w:ascii="宋体" w:hAnsi="宋体"/>
          <w:sz w:val="24"/>
          <w:szCs w:val="15"/>
        </w:rPr>
      </w:pPr>
    </w:p>
    <w:p>
      <w:pPr>
        <w:spacing w:line="500" w:lineRule="exact"/>
        <w:rPr>
          <w:rFonts w:ascii="宋体" w:hAnsi="宋体"/>
          <w:sz w:val="40"/>
          <w:szCs w:val="21"/>
        </w:rPr>
      </w:pPr>
    </w:p>
    <w:p>
      <w:pPr>
        <w:adjustRightInd w:val="0"/>
        <w:snapToGrid w:val="0"/>
        <w:spacing w:line="500" w:lineRule="exact"/>
        <w:ind w:firstLine="57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测量管理体系</w:t>
      </w:r>
    </w:p>
    <w:p>
      <w:pPr>
        <w:adjustRightInd w:val="0"/>
        <w:snapToGrid w:val="0"/>
        <w:spacing w:line="400" w:lineRule="exact"/>
        <w:ind w:firstLine="57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（GB/T 19022-2003/ISO 10012:2003）</w:t>
      </w:r>
    </w:p>
    <w:p>
      <w:pPr>
        <w:widowControl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监督审核报告书</w:t>
      </w:r>
    </w:p>
    <w:p>
      <w:pPr>
        <w:widowControl/>
        <w:rPr>
          <w:rFonts w:ascii="宋体" w:hAnsi="宋体"/>
          <w:b/>
          <w:sz w:val="52"/>
          <w:szCs w:val="52"/>
        </w:rPr>
      </w:pPr>
    </w:p>
    <w:p>
      <w:pPr>
        <w:widowControl/>
        <w:rPr>
          <w:rFonts w:ascii="宋体" w:hAnsi="宋体"/>
          <w:b/>
          <w:sz w:val="52"/>
          <w:szCs w:val="52"/>
        </w:rPr>
      </w:pPr>
    </w:p>
    <w:p>
      <w:pPr>
        <w:widowControl/>
        <w:rPr>
          <w:rFonts w:ascii="宋体" w:hAnsi="宋体"/>
          <w:b/>
          <w:sz w:val="52"/>
          <w:szCs w:val="52"/>
        </w:rPr>
      </w:pPr>
    </w:p>
    <w:p>
      <w:pPr>
        <w:spacing w:line="365" w:lineRule="exact"/>
        <w:rPr>
          <w:rFonts w:ascii="宋体" w:hAnsi="宋体"/>
          <w:sz w:val="32"/>
          <w:szCs w:val="24"/>
        </w:rPr>
      </w:pPr>
    </w:p>
    <w:p>
      <w:pPr>
        <w:spacing w:line="365" w:lineRule="exact"/>
        <w:rPr>
          <w:rFonts w:ascii="宋体" w:hAnsi="宋体"/>
          <w:sz w:val="32"/>
        </w:rPr>
      </w:pPr>
    </w:p>
    <w:p>
      <w:pPr>
        <w:spacing w:line="360" w:lineRule="auto"/>
        <w:jc w:val="left"/>
        <w:rPr>
          <w:rFonts w:hint="default" w:asciiTheme="majorEastAsia" w:hAnsiTheme="majorEastAsia" w:eastAsiaTheme="minorEastAsia" w:cstheme="majorEastAsia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/>
          <w:sz w:val="32"/>
        </w:rPr>
        <w:t>认 证 企 业</w:t>
      </w:r>
      <w:r>
        <w:rPr>
          <w:rFonts w:hint="eastAsia" w:ascii="MS PGothic" w:hAnsi="MS PGothic"/>
          <w:sz w:val="32"/>
        </w:rPr>
        <w:t xml:space="preserve">： </w:t>
      </w:r>
      <w:bookmarkStart w:id="0" w:name="组织名称"/>
      <w:r>
        <w:rPr>
          <w:rFonts w:hint="eastAsia" w:ascii="宋体" w:hAnsi="宋体"/>
          <w:sz w:val="32"/>
          <w:szCs w:val="32"/>
          <w:u w:val="single"/>
        </w:rPr>
        <w:t>江苏东宝农化股份有限公司</w:t>
      </w:r>
      <w:bookmarkEnd w:id="0"/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  </w:t>
      </w:r>
    </w:p>
    <w:p>
      <w:pPr>
        <w:spacing w:line="360" w:lineRule="auto"/>
        <w:jc w:val="left"/>
        <w:rPr>
          <w:rFonts w:ascii="宋体" w:hAnsi="宋体"/>
          <w:spacing w:val="32"/>
          <w:sz w:val="32"/>
          <w:u w:val="single"/>
        </w:rPr>
      </w:pPr>
      <w:r>
        <w:rPr>
          <w:rFonts w:hint="eastAsia" w:asciiTheme="majorEastAsia" w:hAnsiTheme="majorEastAsia" w:eastAsiaTheme="majorEastAsia" w:cstheme="majorEastAsia"/>
          <w:spacing w:val="80"/>
          <w:sz w:val="32"/>
          <w:szCs w:val="32"/>
        </w:rPr>
        <w:t xml:space="preserve">编   号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0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>095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>-20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>16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>-20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360" w:lineRule="auto"/>
        <w:jc w:val="left"/>
        <w:rPr>
          <w:rFonts w:ascii="宋体" w:hAnsi="宋体"/>
          <w:sz w:val="32"/>
        </w:rPr>
      </w:pPr>
      <w:r>
        <w:rPr>
          <w:rFonts w:hint="eastAsia" w:ascii="宋体" w:hAnsi="宋体"/>
          <w:spacing w:val="80"/>
          <w:sz w:val="32"/>
        </w:rPr>
        <w:t>审核类型</w:t>
      </w:r>
      <w:r>
        <w:rPr>
          <w:rFonts w:hint="eastAsia" w:ascii="MS PGothic" w:hAnsi="MS PGothic"/>
          <w:sz w:val="32"/>
        </w:rPr>
        <w:t>：</w:t>
      </w:r>
      <w:r>
        <w:rPr>
          <w:rFonts w:hint="eastAsia" w:ascii="MS PGothic" w:hAnsi="MS PGothic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</w:rPr>
        <w:t>年度监督审核</w:t>
      </w:r>
      <w:r>
        <w:rPr>
          <w:rFonts w:hint="eastAsia" w:ascii="MS PGothic" w:hAnsi="MS PGothic"/>
          <w:sz w:val="32"/>
          <w:u w:val="single"/>
        </w:rPr>
        <w:t xml:space="preserve">                </w:t>
      </w:r>
    </w:p>
    <w:p>
      <w:pPr>
        <w:widowControl/>
        <w:spacing w:line="360" w:lineRule="auto"/>
        <w:ind w:right="360"/>
        <w:rPr>
          <w:rFonts w:ascii="宋体" w:hAnsi="宋体"/>
          <w:spacing w:val="80"/>
          <w:sz w:val="32"/>
        </w:rPr>
      </w:pPr>
    </w:p>
    <w:p>
      <w:pPr>
        <w:widowControl/>
        <w:spacing w:line="360" w:lineRule="auto"/>
        <w:ind w:right="360"/>
        <w:rPr>
          <w:rFonts w:ascii="Times New Roman" w:hAnsi="Times New Roman" w:eastAsia="宋体" w:cs="Times New Roman"/>
          <w:bCs/>
          <w:kern w:val="0"/>
          <w:sz w:val="18"/>
          <w:szCs w:val="18"/>
        </w:rPr>
      </w:pPr>
    </w:p>
    <w:p>
      <w:pPr>
        <w:widowControl/>
        <w:spacing w:line="360" w:lineRule="auto"/>
        <w:jc w:val="righ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编号：</w:t>
      </w:r>
      <w:bookmarkStart w:id="1" w:name="合同编号"/>
      <w:r>
        <w:rPr>
          <w:rFonts w:hint="eastAsia"/>
          <w:szCs w:val="21"/>
          <w:u w:val="single"/>
        </w:rPr>
        <w:t>0095-2016-2020</w:t>
      </w:r>
      <w:bookmarkEnd w:id="1"/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ascii="宋体" w:hAnsi="宋体" w:eastAsia="宋体" w:cs="宋体"/>
          <w:b/>
          <w:bCs/>
          <w:kern w:val="0"/>
          <w:sz w:val="30"/>
          <w:szCs w:val="30"/>
        </w:rPr>
        <w:t>监督审核报告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一、基本情况</w:t>
      </w:r>
    </w:p>
    <w:tbl>
      <w:tblPr>
        <w:tblStyle w:val="5"/>
        <w:tblW w:w="8511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3119"/>
        <w:gridCol w:w="1771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企业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311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江苏东宝农化股份有限公司</w:t>
            </w:r>
          </w:p>
        </w:tc>
        <w:tc>
          <w:tcPr>
            <w:tcW w:w="1771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企业联系人</w:t>
            </w:r>
          </w:p>
        </w:tc>
        <w:tc>
          <w:tcPr>
            <w:tcW w:w="1772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南艳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认证证书编号</w:t>
            </w:r>
          </w:p>
        </w:tc>
        <w:tc>
          <w:tcPr>
            <w:tcW w:w="311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ISC-2016-0090</w:t>
            </w:r>
          </w:p>
        </w:tc>
        <w:tc>
          <w:tcPr>
            <w:tcW w:w="1771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证书有效期</w:t>
            </w:r>
          </w:p>
        </w:tc>
        <w:tc>
          <w:tcPr>
            <w:tcW w:w="1772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2022-01-08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监督审核次数</w:t>
            </w:r>
          </w:p>
        </w:tc>
        <w:tc>
          <w:tcPr>
            <w:tcW w:w="311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次监督审核</w:t>
            </w:r>
          </w:p>
        </w:tc>
        <w:tc>
          <w:tcPr>
            <w:tcW w:w="1771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本次监督时间</w:t>
            </w:r>
          </w:p>
        </w:tc>
        <w:tc>
          <w:tcPr>
            <w:tcW w:w="1772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月1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84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 w:firstLine="120" w:firstLineChars="50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监督审核员</w:t>
            </w:r>
          </w:p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 w:firstLine="120" w:firstLineChars="50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姓名及确认号</w:t>
            </w:r>
          </w:p>
        </w:tc>
        <w:tc>
          <w:tcPr>
            <w:tcW w:w="311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黄金荣：中认协评[2018]249号ISC[S]0062</w:t>
            </w:r>
          </w:p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陈秉桦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auto"/>
              </w:rPr>
              <w:t>中认协注一[2017]244号ISC[S]0187</w:t>
            </w:r>
          </w:p>
        </w:tc>
        <w:tc>
          <w:tcPr>
            <w:tcW w:w="1771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监督审核涉及的区域或部门</w:t>
            </w:r>
          </w:p>
        </w:tc>
        <w:tc>
          <w:tcPr>
            <w:tcW w:w="1772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hint="eastAsia" w:ascii="宋体" w:hAnsi="宋体" w:eastAsia="新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管理层/管理者代表、质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生产科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生产车间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>
      <w:pPr>
        <w:widowControl/>
        <w:spacing w:line="360" w:lineRule="auto"/>
        <w:rPr>
          <w:rFonts w:cs="宋体" w:asciiTheme="minorEastAsia" w:hAnsiTheme="minorEastAsia"/>
          <w:color w:val="auto"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color w:val="auto"/>
          <w:kern w:val="0"/>
          <w:sz w:val="24"/>
          <w:szCs w:val="24"/>
        </w:rPr>
        <w:t>二、</w:t>
      </w:r>
      <w:r>
        <w:rPr>
          <w:rFonts w:cs="宋体" w:asciiTheme="minorEastAsia" w:hAnsiTheme="minorEastAsia"/>
          <w:b/>
          <w:bCs/>
          <w:color w:val="auto"/>
          <w:kern w:val="0"/>
          <w:sz w:val="24"/>
          <w:szCs w:val="24"/>
        </w:rPr>
        <w:t>监督审核</w:t>
      </w:r>
      <w:r>
        <w:rPr>
          <w:rFonts w:hint="eastAsia" w:cs="宋体" w:asciiTheme="minorEastAsia" w:hAnsiTheme="minorEastAsia"/>
          <w:b/>
          <w:bCs/>
          <w:color w:val="auto"/>
          <w:kern w:val="0"/>
          <w:sz w:val="24"/>
          <w:szCs w:val="24"/>
        </w:rPr>
        <w:t>内容</w:t>
      </w:r>
      <w:r>
        <w:rPr>
          <w:rFonts w:hint="eastAsia" w:cs="宋体" w:asciiTheme="minorEastAsia" w:hAnsiTheme="minorEastAsia"/>
          <w:bCs/>
          <w:color w:val="auto"/>
          <w:kern w:val="0"/>
          <w:sz w:val="24"/>
          <w:szCs w:val="24"/>
        </w:rPr>
        <w:t>：</w:t>
      </w:r>
    </w:p>
    <w:p>
      <w:pPr>
        <w:spacing w:line="360" w:lineRule="auto"/>
        <w:ind w:right="-512" w:rightChars="-244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1.一年内违反法律法规或重大事故的情况：</w:t>
      </w:r>
    </w:p>
    <w:p>
      <w:pPr>
        <w:spacing w:line="360" w:lineRule="auto"/>
        <w:ind w:right="-512" w:rightChars="-244"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一年来，公司日常运行中生产、经营、安全、销售及管理方面比去年都有很大提升，企业制定了多项生产管理文件、制度，测量管理体系理念更加深入人心，企业未有违反法律、法规问题和产品质量问题的投诉或重大质量事故发生。企业营业执照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组织机构没有变更，企业资质满足要求。</w:t>
      </w:r>
      <w:r>
        <w:rPr>
          <w:rFonts w:hint="eastAsia"/>
          <w:sz w:val="24"/>
          <w:szCs w:val="24"/>
        </w:rPr>
        <w:t>企业不是重点能耗单位，能源消耗由生产科管理，查企业生产科《2019年能源用量汇总数据》，主要消耗电能，2019年1-12月消耗电量：24.1万kWh, 折算标准煤用量221.22千克标煤，由供电公司提供的电能表进行管理和计量。</w:t>
      </w:r>
    </w:p>
    <w:p>
      <w:pPr>
        <w:spacing w:line="360" w:lineRule="auto"/>
        <w:ind w:right="-512" w:rightChars="-244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2.监督审核过程简述：</w:t>
      </w:r>
    </w:p>
    <w:p>
      <w:pPr>
        <w:spacing w:line="360" w:lineRule="auto"/>
        <w:ind w:right="-512" w:rightChars="-244"/>
        <w:rPr>
          <w:rFonts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 xml:space="preserve">   为有效评价公司测量管理体系认证后一年以来运行情况，在</w:t>
      </w:r>
      <w:r>
        <w:rPr>
          <w:rFonts w:hint="eastAsia" w:ascii="宋体" w:hAnsi="宋体"/>
          <w:color w:val="auto"/>
          <w:sz w:val="24"/>
          <w:szCs w:val="24"/>
        </w:rPr>
        <w:t>江苏东宝农化股份有限公司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现场审核中，审核组分两个组先、后抽样检查了涉及公司测量体系内的管理、生产、经营、质量和环境等方面的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个职能部门和车间。重点</w:t>
      </w:r>
      <w:r>
        <w:rPr>
          <w:rStyle w:val="10"/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核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查环节有：物料进厂检测、产品质量性能检验和生产过程质量检测</w:t>
      </w:r>
      <w:r>
        <w:rPr>
          <w:rStyle w:val="10"/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及测量设备量值溯源完成情况。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公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司领导层重视测量管理体系各项工作，配备完善了相关资源和配备，</w:t>
      </w:r>
      <w:r>
        <w:rPr>
          <w:rFonts w:hint="eastAsia" w:ascii="宋体" w:hAnsi="宋体"/>
          <w:bCs/>
          <w:color w:val="auto"/>
          <w:sz w:val="24"/>
          <w:szCs w:val="24"/>
        </w:rPr>
        <w:t>公司制定</w:t>
      </w:r>
      <w:r>
        <w:rPr>
          <w:rFonts w:hint="eastAsia" w:ascii="宋体" w:hAnsi="宋体" w:cs="宋体"/>
          <w:bCs/>
          <w:color w:val="auto"/>
          <w:sz w:val="24"/>
          <w:szCs w:val="24"/>
        </w:rPr>
        <w:t>了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bCs/>
          <w:color w:val="auto"/>
          <w:sz w:val="24"/>
          <w:szCs w:val="24"/>
        </w:rPr>
        <w:t>项质量目标，</w:t>
      </w:r>
      <w:r>
        <w:rPr>
          <w:rFonts w:hint="eastAsia" w:ascii="宋体" w:hAnsi="宋体"/>
          <w:bCs/>
          <w:color w:val="auto"/>
          <w:sz w:val="24"/>
          <w:szCs w:val="24"/>
        </w:rPr>
        <w:t>质量目标有具体考核指标可测量。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经统计2019年</w:t>
      </w:r>
      <w:r>
        <w:rPr>
          <w:rFonts w:hint="eastAsia" w:ascii="宋体" w:hAnsi="宋体" w:cs="宋体"/>
          <w:bCs/>
          <w:color w:val="auto"/>
          <w:sz w:val="24"/>
          <w:szCs w:val="24"/>
        </w:rPr>
        <w:t>质量目标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全部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完成。</w:t>
      </w:r>
      <w:r>
        <w:rPr>
          <w:rFonts w:hint="eastAsia" w:ascii="宋体" w:hAnsi="宋体"/>
          <w:color w:val="auto"/>
          <w:sz w:val="24"/>
          <w:szCs w:val="24"/>
        </w:rPr>
        <w:t>江苏东宝农化股份有限公司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测量管理体系的符合性、有效性及持续改进，符合GB/T 19022-2003标准要求，公司测量管理体系正常有序运行，较好地满足了公司生产、销售和持续发展的需要。企业效益逐年提升明显。</w:t>
      </w:r>
    </w:p>
    <w:p>
      <w:pPr>
        <w:widowControl/>
        <w:spacing w:line="360" w:lineRule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Theme="minorEastAsia" w:hAnsiTheme="minorEastAsia"/>
          <w:bCs/>
          <w:color w:val="auto"/>
          <w:sz w:val="24"/>
          <w:szCs w:val="24"/>
        </w:rPr>
        <w:t>3.内部审核和管理评审</w:t>
      </w:r>
      <w:r>
        <w:rPr>
          <w:rFonts w:cs="宋体" w:asciiTheme="minorEastAsia" w:hAnsiTheme="minorEastAsia"/>
          <w:bCs/>
          <w:color w:val="auto"/>
          <w:kern w:val="0"/>
          <w:sz w:val="24"/>
          <w:szCs w:val="24"/>
        </w:rPr>
        <w:t>的情况：</w:t>
      </w:r>
    </w:p>
    <w:p>
      <w:pPr>
        <w:widowControl/>
        <w:spacing w:line="360" w:lineRule="auto"/>
        <w:rPr>
          <w:rFonts w:ascii="宋体" w:hAnsi="宋体"/>
          <w:color w:val="auto"/>
          <w:sz w:val="24"/>
          <w:szCs w:val="24"/>
        </w:rPr>
      </w:pPr>
      <w:r>
        <w:rPr>
          <w:rFonts w:hint="eastAsia" w:cs="宋体" w:asciiTheme="minorEastAsia" w:hAnsiTheme="minorEastAsia"/>
          <w:bCs/>
          <w:color w:val="auto"/>
          <w:kern w:val="0"/>
          <w:sz w:val="24"/>
          <w:szCs w:val="24"/>
        </w:rPr>
        <w:t>3.1</w:t>
      </w:r>
      <w:r>
        <w:rPr>
          <w:rFonts w:hint="eastAsia" w:ascii="宋体" w:hAnsi="宋体"/>
          <w:color w:val="auto"/>
          <w:sz w:val="24"/>
          <w:szCs w:val="24"/>
        </w:rPr>
        <w:t>公司的测量体系内审：</w:t>
      </w:r>
    </w:p>
    <w:p>
      <w:pPr>
        <w:widowControl/>
        <w:spacing w:line="360" w:lineRule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Cs/>
          <w:color w:val="auto"/>
          <w:kern w:val="0"/>
          <w:sz w:val="24"/>
          <w:szCs w:val="24"/>
        </w:rPr>
        <w:t xml:space="preserve">  </w:t>
      </w:r>
      <w:r>
        <w:rPr>
          <w:rFonts w:hint="eastAsia" w:cs="宋体" w:asciiTheme="minorEastAsia" w:hAnsiTheme="minorEastAsia"/>
          <w:bCs/>
          <w:color w:val="auto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为了充分验证公司测量管理体系运行的符合性、有效性及持续改进，于201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年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月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lang w:val="en-US" w:eastAsia="zh-CN"/>
        </w:rPr>
        <w:t>16日至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1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lang w:val="en-US" w:eastAsia="zh-CN"/>
        </w:rPr>
        <w:t>7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>日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，公司进行了年度测量管理体系</w:t>
      </w:r>
      <w:r>
        <w:rPr>
          <w:rFonts w:hint="eastAsia" w:ascii="宋体" w:hAnsi="宋体"/>
          <w:bCs/>
          <w:color w:val="auto"/>
          <w:sz w:val="24"/>
          <w:szCs w:val="24"/>
        </w:rPr>
        <w:t>内部审核工作</w:t>
      </w:r>
      <w:r>
        <w:rPr>
          <w:rFonts w:hint="eastAsia"/>
          <w:color w:val="auto"/>
          <w:sz w:val="24"/>
          <w:szCs w:val="24"/>
        </w:rPr>
        <w:t>。</w:t>
      </w:r>
      <w:r>
        <w:rPr>
          <w:rStyle w:val="10"/>
          <w:rFonts w:hint="eastAsia" w:ascii="宋体" w:eastAsia="宋体"/>
          <w:color w:val="auto"/>
          <w:sz w:val="24"/>
          <w:szCs w:val="24"/>
        </w:rPr>
        <w:t>按GB/T 19022-2003标准的要素要求，分</w:t>
      </w:r>
      <w:r>
        <w:rPr>
          <w:rStyle w:val="10"/>
          <w:rFonts w:hint="eastAsia" w:ascii="宋体" w:eastAsia="宋体"/>
          <w:color w:val="auto"/>
          <w:sz w:val="24"/>
          <w:szCs w:val="24"/>
          <w:lang w:val="en-US" w:eastAsia="zh-CN"/>
        </w:rPr>
        <w:t>2</w:t>
      </w:r>
      <w:r>
        <w:rPr>
          <w:rStyle w:val="10"/>
          <w:rFonts w:hint="eastAsia" w:ascii="宋体" w:eastAsia="宋体"/>
          <w:color w:val="auto"/>
          <w:sz w:val="24"/>
          <w:szCs w:val="24"/>
        </w:rPr>
        <w:t>个组对公司</w:t>
      </w:r>
      <w:r>
        <w:rPr>
          <w:rStyle w:val="10"/>
          <w:rFonts w:hint="eastAsia" w:ascii="宋体" w:eastAsia="宋体"/>
          <w:color w:val="auto"/>
          <w:sz w:val="24"/>
          <w:szCs w:val="24"/>
          <w:lang w:val="en-US" w:eastAsia="zh-CN"/>
        </w:rPr>
        <w:t>6</w:t>
      </w:r>
      <w:r>
        <w:rPr>
          <w:rStyle w:val="10"/>
          <w:rFonts w:hint="eastAsia" w:ascii="宋体" w:eastAsia="宋体"/>
          <w:color w:val="auto"/>
          <w:sz w:val="24"/>
          <w:szCs w:val="24"/>
        </w:rPr>
        <w:t>个职能部门和</w:t>
      </w:r>
      <w:r>
        <w:rPr>
          <w:rStyle w:val="10"/>
          <w:rFonts w:hint="eastAsia" w:ascii="宋体" w:eastAsia="宋体"/>
          <w:color w:val="auto"/>
          <w:sz w:val="24"/>
          <w:szCs w:val="24"/>
          <w:lang w:val="en-US" w:eastAsia="zh-CN"/>
        </w:rPr>
        <w:t>2</w:t>
      </w:r>
      <w:r>
        <w:rPr>
          <w:rStyle w:val="10"/>
          <w:rFonts w:hint="eastAsia" w:ascii="宋体" w:eastAsia="宋体"/>
          <w:color w:val="auto"/>
          <w:sz w:val="24"/>
          <w:szCs w:val="24"/>
        </w:rPr>
        <w:t>生产作业单位进行了审核。</w:t>
      </w:r>
      <w:r>
        <w:rPr>
          <w:rStyle w:val="10"/>
          <w:rFonts w:hint="eastAsia" w:ascii="宋体" w:eastAsia="宋体"/>
          <w:color w:val="auto"/>
          <w:sz w:val="24"/>
          <w:szCs w:val="24"/>
          <w:lang w:val="en-US" w:eastAsia="zh-CN"/>
        </w:rPr>
        <w:t>本次</w:t>
      </w:r>
      <w:r>
        <w:rPr>
          <w:rFonts w:hint="eastAsia"/>
          <w:color w:val="auto"/>
          <w:sz w:val="24"/>
          <w:szCs w:val="24"/>
        </w:rPr>
        <w:t>审核</w:t>
      </w:r>
      <w:r>
        <w:rPr>
          <w:rFonts w:hint="eastAsia"/>
          <w:color w:val="auto"/>
          <w:sz w:val="24"/>
          <w:szCs w:val="24"/>
          <w:lang w:val="en-US" w:eastAsia="zh-CN"/>
        </w:rPr>
        <w:t>发现2个不符合项，目前已整改完成。</w:t>
      </w:r>
    </w:p>
    <w:p>
      <w:pPr>
        <w:widowControl/>
        <w:spacing w:line="360" w:lineRule="auto"/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>3.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</w:rPr>
        <w:t>2、公司的测量体系管理评审：</w:t>
      </w:r>
    </w:p>
    <w:p>
      <w:pPr>
        <w:widowControl/>
        <w:spacing w:line="360" w:lineRule="auto"/>
        <w:rPr>
          <w:rFonts w:hint="eastAsia" w:ascii="宋体" w:hAnsi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cs="宋体" w:asciiTheme="minorEastAsia" w:hAnsiTheme="minorEastAsia"/>
          <w:bCs/>
          <w:color w:val="auto"/>
          <w:kern w:val="0"/>
          <w:sz w:val="24"/>
          <w:szCs w:val="24"/>
        </w:rPr>
        <w:t>公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司领导层，为了系统的了解和自我评价公司测量管理体系一年内运行情况，</w:t>
      </w:r>
    </w:p>
    <w:p>
      <w:pPr>
        <w:widowControl/>
        <w:spacing w:line="360" w:lineRule="auto"/>
        <w:rPr>
          <w:rFonts w:hint="eastAsia" w:ascii="宋体" w:hAnsi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在测量管理体系内部审核结束后，由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lang w:val="en-US" w:eastAsia="zh-CN"/>
        </w:rPr>
        <w:t>质监科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牵头组织，策划制定了管理评审计划并实施。201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年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月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日，由总经理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lang w:val="en-US" w:eastAsia="zh-CN"/>
        </w:rPr>
        <w:t>曹茂开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主持，公司召集测量管理体系职能部门和相关部门领导参加的评审会议。编制了评审报告。管理评审结论为：公司测量管理体系有效运行，符合GB/T 19022-2003标准要求。体系运行是有效的、适宜的。</w:t>
      </w:r>
    </w:p>
    <w:p>
      <w:pPr>
        <w:widowControl/>
        <w:spacing w:line="360" w:lineRule="auto"/>
        <w:rPr>
          <w:rFonts w:hint="eastAsia" w:ascii="宋体" w:hAnsi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 xml:space="preserve">4、为持续改进而策划的活动的进展 </w:t>
      </w:r>
    </w:p>
    <w:p>
      <w:pPr>
        <w:widowControl/>
        <w:spacing w:line="360" w:lineRule="auto"/>
        <w:ind w:firstLine="480"/>
        <w:jc w:val="left"/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</w:rPr>
        <w:t>企业</w:t>
      </w:r>
      <w:r>
        <w:rPr>
          <w:rFonts w:hint="eastAsia" w:ascii="宋体" w:hAnsi="宋体"/>
          <w:sz w:val="24"/>
          <w:szCs w:val="24"/>
        </w:rPr>
        <w:t>灌装净含量称重过程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</w:rPr>
        <w:t>为关键测量过程，测量过程识别、测量设备配备、检定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:lang w:val="en-US" w:eastAsia="zh-CN"/>
        </w:rPr>
        <w:t>/校准、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</w:rPr>
        <w:t>验证，测量过程有效性确认，测量不确定度评定、测量过程控制和监视满足要求。</w:t>
      </w:r>
    </w:p>
    <w:p>
      <w:pPr>
        <w:widowControl/>
        <w:spacing w:line="360" w:lineRule="auto"/>
        <w:ind w:firstLine="480"/>
        <w:jc w:val="left"/>
        <w:rPr>
          <w:rFonts w:hint="default" w:asciiTheme="majorEastAsia" w:hAnsiTheme="majorEastAsia" w:eastAsiaTheme="majorEastAsia" w:cstheme="majorEastAsia"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:lang w:val="en-US" w:eastAsia="zh-CN"/>
        </w:rPr>
        <w:t>企业没有新增测量过程。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 w:cstheme="majorEastAsia"/>
          <w:bCs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</w:rPr>
        <w:t>5、对上次审核中确定的不符合采取措施的情况：</w:t>
      </w:r>
    </w:p>
    <w:p>
      <w:pPr>
        <w:spacing w:before="240" w:after="240"/>
        <w:ind w:firstLine="480" w:firstLineChars="200"/>
        <w:rPr>
          <w:rFonts w:hint="default" w:ascii="宋体" w:hAnsi="宋体" w:eastAsiaTheme="minorEastAsia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去年监督审核未</w:t>
      </w:r>
      <w:r>
        <w:rPr>
          <w:rStyle w:val="10"/>
          <w:rFonts w:hint="eastAsia" w:ascii="宋体" w:eastAsia="宋体"/>
          <w:color w:val="auto"/>
          <w:sz w:val="24"/>
          <w:szCs w:val="24"/>
        </w:rPr>
        <w:t>发现</w:t>
      </w:r>
      <w:r>
        <w:rPr>
          <w:rStyle w:val="10"/>
          <w:rFonts w:hint="eastAsia" w:ascii="宋体" w:eastAsia="宋体"/>
          <w:color w:val="auto"/>
          <w:sz w:val="24"/>
          <w:szCs w:val="24"/>
          <w:lang w:val="en-US" w:eastAsia="zh-CN"/>
        </w:rPr>
        <w:t>不符合项。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</w:rPr>
      </w:pPr>
    </w:p>
    <w:p>
      <w:pPr>
        <w:widowControl/>
        <w:spacing w:line="360" w:lineRule="auto"/>
        <w:rPr>
          <w:rFonts w:cs="宋体" w:asciiTheme="minorEastAsia" w:hAnsiTheme="minorEastAsia"/>
          <w:bCs/>
          <w:color w:val="auto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auto"/>
          <w:kern w:val="0"/>
          <w:sz w:val="24"/>
          <w:szCs w:val="24"/>
        </w:rPr>
        <w:t>6.对</w:t>
      </w:r>
      <w:r>
        <w:rPr>
          <w:rFonts w:hint="eastAsia" w:asciiTheme="minorEastAsia" w:hAnsiTheme="minorEastAsia"/>
          <w:bCs/>
          <w:color w:val="auto"/>
          <w:sz w:val="24"/>
          <w:szCs w:val="24"/>
        </w:rPr>
        <w:t>投诉的处理</w:t>
      </w:r>
      <w:r>
        <w:rPr>
          <w:rFonts w:cs="宋体" w:asciiTheme="minorEastAsia" w:hAnsiTheme="minorEastAsia"/>
          <w:bCs/>
          <w:color w:val="auto"/>
          <w:kern w:val="0"/>
          <w:sz w:val="24"/>
          <w:szCs w:val="24"/>
        </w:rPr>
        <w:t>情况：</w:t>
      </w:r>
    </w:p>
    <w:p>
      <w:pPr>
        <w:widowControl/>
        <w:spacing w:line="360" w:lineRule="auto"/>
        <w:rPr>
          <w:rFonts w:cs="宋体" w:asciiTheme="minorEastAsia" w:hAnsiTheme="minorEastAsia"/>
          <w:bCs/>
          <w:color w:val="auto"/>
          <w:kern w:val="0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 xml:space="preserve">    公司目前尚未接到客户在产品质量、物料交接、能源、安全、现场管理等方面的投诉和纠纷。</w:t>
      </w:r>
    </w:p>
    <w:p>
      <w:pPr>
        <w:widowControl/>
        <w:spacing w:line="360" w:lineRule="auto"/>
        <w:rPr>
          <w:rFonts w:cs="宋体" w:asciiTheme="minorEastAsia" w:hAnsiTheme="minorEastAsia"/>
          <w:bCs/>
          <w:color w:val="auto"/>
          <w:kern w:val="0"/>
          <w:sz w:val="24"/>
          <w:szCs w:val="24"/>
        </w:rPr>
      </w:pPr>
      <w:r>
        <w:rPr>
          <w:rFonts w:hint="eastAsia" w:asciiTheme="minorEastAsia" w:hAnsiTheme="minorEastAsia"/>
          <w:bCs/>
          <w:color w:val="auto"/>
          <w:sz w:val="24"/>
          <w:szCs w:val="24"/>
        </w:rPr>
        <w:t>7.管理体系在实现获证客户目标方面的有效性及持续的运作控制</w:t>
      </w:r>
      <w:r>
        <w:rPr>
          <w:rFonts w:cs="宋体" w:asciiTheme="minorEastAsia" w:hAnsiTheme="minorEastAsia"/>
          <w:bCs/>
          <w:color w:val="auto"/>
          <w:kern w:val="0"/>
          <w:sz w:val="24"/>
          <w:szCs w:val="24"/>
        </w:rPr>
        <w:t>情况：</w:t>
      </w:r>
    </w:p>
    <w:p>
      <w:pPr>
        <w:widowControl/>
        <w:spacing w:line="360" w:lineRule="auto"/>
        <w:rPr>
          <w:rFonts w:cs="宋体" w:asciiTheme="minorEastAsia" w:hAnsiTheme="minorEastAsia"/>
          <w:bCs/>
          <w:color w:val="auto"/>
          <w:kern w:val="0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 xml:space="preserve">   </w:t>
      </w: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sz w:val="24"/>
          <w:szCs w:val="24"/>
        </w:rPr>
        <w:t>公司制定</w:t>
      </w:r>
      <w:r>
        <w:rPr>
          <w:rFonts w:hint="eastAsia" w:ascii="宋体" w:hAnsi="宋体" w:cs="宋体"/>
          <w:bCs/>
          <w:color w:val="auto"/>
          <w:sz w:val="24"/>
          <w:szCs w:val="24"/>
        </w:rPr>
        <w:t>了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bCs/>
          <w:color w:val="auto"/>
          <w:sz w:val="24"/>
          <w:szCs w:val="24"/>
        </w:rPr>
        <w:t>项质量目标，</w:t>
      </w:r>
      <w:r>
        <w:rPr>
          <w:rFonts w:hint="eastAsia" w:ascii="宋体" w:hAnsi="宋体"/>
          <w:bCs/>
          <w:color w:val="auto"/>
          <w:sz w:val="24"/>
          <w:szCs w:val="24"/>
        </w:rPr>
        <w:t>质量目标有具体考核指标可测量</w:t>
      </w:r>
      <w:r>
        <w:rPr>
          <w:rFonts w:hint="eastAsia" w:ascii="宋体" w:hAnsi="宋体" w:cs="宋体"/>
          <w:bCs/>
          <w:color w:val="auto"/>
          <w:sz w:val="24"/>
          <w:szCs w:val="24"/>
        </w:rPr>
        <w:t>，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经统计2019年</w:t>
      </w:r>
      <w:r>
        <w:rPr>
          <w:rFonts w:hint="eastAsia" w:ascii="宋体" w:hAnsi="宋体" w:cs="宋体"/>
          <w:bCs/>
          <w:color w:val="auto"/>
          <w:sz w:val="24"/>
          <w:szCs w:val="24"/>
        </w:rPr>
        <w:t>质量目标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全部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完成。</w:t>
      </w:r>
      <w:r>
        <w:rPr>
          <w:rFonts w:hint="eastAsia" w:ascii="宋体" w:hAnsi="宋体"/>
          <w:bCs/>
          <w:color w:val="auto"/>
          <w:sz w:val="24"/>
          <w:szCs w:val="24"/>
        </w:rPr>
        <w:t>进一步满足顾客、质量、服务等方面的要求，</w:t>
      </w:r>
      <w:r>
        <w:rPr>
          <w:rFonts w:hint="eastAsia" w:ascii="宋体" w:hAnsi="宋体"/>
          <w:color w:val="auto"/>
          <w:sz w:val="24"/>
          <w:szCs w:val="24"/>
        </w:rPr>
        <w:t>符合GB/T 19022-2003标准要求。</w:t>
      </w:r>
      <w:r>
        <w:rPr>
          <w:rFonts w:hint="eastAsia" w:ascii="宋体" w:hAnsi="宋体"/>
          <w:bCs/>
          <w:color w:val="auto"/>
          <w:sz w:val="24"/>
          <w:szCs w:val="24"/>
        </w:rPr>
        <w:t>使其更具有动态性和适应性、</w:t>
      </w:r>
      <w:r>
        <w:rPr>
          <w:rFonts w:hint="eastAsia" w:asciiTheme="minorEastAsia" w:hAnsiTheme="minorEastAsia"/>
          <w:bCs/>
          <w:color w:val="auto"/>
          <w:sz w:val="24"/>
          <w:szCs w:val="24"/>
        </w:rPr>
        <w:t>有效性及对持续运作的控制。</w:t>
      </w:r>
    </w:p>
    <w:p>
      <w:pPr>
        <w:widowControl/>
        <w:numPr>
          <w:ilvl w:val="0"/>
          <w:numId w:val="1"/>
        </w:numPr>
        <w:spacing w:line="360" w:lineRule="auto"/>
        <w:rPr>
          <w:rFonts w:asciiTheme="minorEastAsia" w:hAnsiTheme="minorEastAsia"/>
          <w:bCs/>
          <w:color w:val="auto"/>
          <w:sz w:val="24"/>
          <w:szCs w:val="24"/>
        </w:rPr>
      </w:pPr>
      <w:r>
        <w:rPr>
          <w:rFonts w:hint="eastAsia" w:asciiTheme="minorEastAsia" w:hAnsiTheme="minorEastAsia"/>
          <w:bCs/>
          <w:color w:val="auto"/>
          <w:sz w:val="24"/>
          <w:szCs w:val="24"/>
        </w:rPr>
        <w:t>对组织任何变更的审核：</w:t>
      </w:r>
    </w:p>
    <w:p>
      <w:pPr>
        <w:widowControl/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  <w:highlight w:val="none"/>
          <w:lang w:val="en-US" w:eastAsia="zh-CN"/>
        </w:rPr>
        <w:t>企业营业执照、组织机构没有变更。</w:t>
      </w:r>
    </w:p>
    <w:p>
      <w:pPr>
        <w:widowControl/>
        <w:spacing w:line="360" w:lineRule="auto"/>
        <w:rPr>
          <w:rFonts w:cs="宋体" w:asciiTheme="minorEastAsia" w:hAnsiTheme="minorEastAsia"/>
          <w:bCs/>
          <w:color w:val="auto"/>
          <w:kern w:val="0"/>
          <w:sz w:val="24"/>
          <w:szCs w:val="24"/>
        </w:rPr>
      </w:pPr>
      <w:r>
        <w:rPr>
          <w:rFonts w:hint="eastAsia" w:asciiTheme="minorEastAsia" w:hAnsiTheme="minorEastAsia"/>
          <w:bCs/>
          <w:color w:val="auto"/>
          <w:sz w:val="24"/>
          <w:szCs w:val="24"/>
        </w:rPr>
        <w:t>9.标志的使用和（或）任何其他对认证资</w:t>
      </w:r>
      <w:r>
        <w:rPr>
          <w:rFonts w:hint="eastAsia"/>
          <w:bCs/>
          <w:color w:val="auto"/>
          <w:sz w:val="24"/>
          <w:szCs w:val="24"/>
        </w:rPr>
        <w:t>格引用符合</w:t>
      </w:r>
      <w:r>
        <w:rPr>
          <w:rFonts w:cs="宋体" w:asciiTheme="minorEastAsia" w:hAnsiTheme="minorEastAsia"/>
          <w:bCs/>
          <w:color w:val="auto"/>
          <w:kern w:val="0"/>
          <w:sz w:val="24"/>
          <w:szCs w:val="24"/>
        </w:rPr>
        <w:t>的情况：</w:t>
      </w:r>
    </w:p>
    <w:p>
      <w:pPr>
        <w:widowControl/>
        <w:spacing w:line="360" w:lineRule="auto"/>
        <w:ind w:firstLine="480" w:firstLineChars="200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cs="宋体" w:asciiTheme="minorEastAsia" w:hAnsiTheme="minorEastAsia"/>
          <w:bCs/>
          <w:color w:val="auto"/>
          <w:kern w:val="0"/>
          <w:sz w:val="24"/>
          <w:szCs w:val="24"/>
        </w:rPr>
        <w:t>公司对</w:t>
      </w:r>
      <w:r>
        <w:rPr>
          <w:rFonts w:hint="eastAsia" w:asciiTheme="minorEastAsia" w:hAnsiTheme="minorEastAsia"/>
          <w:bCs/>
          <w:color w:val="auto"/>
          <w:sz w:val="24"/>
          <w:szCs w:val="24"/>
        </w:rPr>
        <w:t>标志的使用，</w:t>
      </w:r>
      <w:r>
        <w:rPr>
          <w:rFonts w:hint="eastAsia"/>
          <w:bCs/>
          <w:color w:val="auto"/>
          <w:sz w:val="24"/>
          <w:szCs w:val="24"/>
        </w:rPr>
        <w:t>符合相关标准和规定。公司测量</w:t>
      </w:r>
      <w:r>
        <w:rPr>
          <w:rFonts w:hint="eastAsia" w:ascii="宋体" w:hAnsi="宋体"/>
          <w:bCs/>
          <w:color w:val="auto"/>
          <w:sz w:val="24"/>
          <w:szCs w:val="24"/>
        </w:rPr>
        <w:t>管理体系认证证书用于：招投标和企业形象宣传。</w:t>
      </w:r>
    </w:p>
    <w:p>
      <w:pPr>
        <w:snapToGrid w:val="0"/>
        <w:spacing w:line="360" w:lineRule="auto"/>
        <w:ind w:right="-512" w:rightChars="-244"/>
        <w:rPr>
          <w:rFonts w:ascii="宋体" w:hAnsi="宋体"/>
          <w:color w:val="auto"/>
          <w:sz w:val="24"/>
          <w:szCs w:val="24"/>
        </w:rPr>
      </w:pPr>
      <w:r>
        <w:rPr>
          <w:rFonts w:hint="eastAsia" w:asciiTheme="minorEastAsia" w:hAnsiTheme="minorEastAsia"/>
          <w:bCs/>
          <w:color w:val="auto"/>
          <w:sz w:val="24"/>
          <w:szCs w:val="24"/>
        </w:rPr>
        <w:t>10.</w:t>
      </w:r>
      <w:r>
        <w:rPr>
          <w:rFonts w:hint="eastAsia" w:ascii="宋体" w:hAnsi="宋体"/>
          <w:color w:val="auto"/>
          <w:sz w:val="24"/>
          <w:szCs w:val="24"/>
        </w:rPr>
        <w:t>本次审核未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发现</w:t>
      </w:r>
      <w:r>
        <w:rPr>
          <w:rFonts w:hint="eastAsia" w:ascii="宋体" w:hAnsi="宋体"/>
          <w:color w:val="auto"/>
          <w:sz w:val="24"/>
          <w:szCs w:val="24"/>
        </w:rPr>
        <w:t>一般不符合项 ，未发现严重或系统性的不符合情况。</w:t>
      </w:r>
    </w:p>
    <w:p>
      <w:pPr>
        <w:widowControl/>
        <w:spacing w:line="360" w:lineRule="auto"/>
        <w:ind w:firstLine="482" w:firstLineChars="200"/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三、</w:t>
      </w: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>监督审核结论意见(含需要说明的事项):</w:t>
      </w:r>
    </w:p>
    <w:p>
      <w:pPr>
        <w:widowControl/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>通过2020年5月12日，对</w:t>
      </w:r>
      <w:r>
        <w:rPr>
          <w:rFonts w:hint="eastAsia" w:ascii="宋体" w:hAnsi="宋体"/>
          <w:color w:val="auto"/>
          <w:sz w:val="24"/>
          <w:szCs w:val="24"/>
        </w:rPr>
        <w:t>江苏东宝农化股份有限公司</w:t>
      </w: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>测量管理现场监督审核.验证了贵公司在测量管理体系在去年监督审核后1年内，公司领导重视体系运行和管理，体系文件得到有效实施，关键测量过程受控、监视方法正确有效，重要测量人员能力受控，测量设备、测量环境、测量软件、测量记录及外部供方管理等各项工作，比上一年度更加完善和规范，使公司测量体系持续满足顾客的测量要求。综上所述，审核组认为</w:t>
      </w:r>
      <w:r>
        <w:rPr>
          <w:rFonts w:hint="eastAsia" w:ascii="宋体" w:hAnsi="宋体"/>
          <w:color w:val="auto"/>
          <w:sz w:val="24"/>
          <w:szCs w:val="24"/>
        </w:rPr>
        <w:t>江苏东宝农化股份有限公司</w:t>
      </w: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>测量管理体系，符合GB/T 19022-2003标准要求，对体系运行具有持续的有效性、符合性予以肯定。建议报请国标联合认证有限公司批准通过监督审核。</w:t>
      </w:r>
    </w:p>
    <w:p>
      <w:pPr>
        <w:widowControl/>
        <w:spacing w:line="360" w:lineRule="auto"/>
        <w:ind w:firstLine="480" w:firstLineChars="200"/>
        <w:rPr>
          <w:rFonts w:hint="eastAsia" w:ascii="宋体" w:hAnsi="宋体"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>另为了促进支持企业测量管理体系持续提高，建议企业做好测量设备管理和使用维护管理，确保测量设备满足使用要求。</w:t>
      </w:r>
    </w:p>
    <w:p>
      <w:pPr>
        <w:widowControl/>
        <w:spacing w:line="360" w:lineRule="auto"/>
        <w:ind w:firstLine="480" w:firstLineChars="200"/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</w:rPr>
        <w:t>11.其他需要说明的事项:/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Theme="majorEastAsia" w:hAnsiTheme="majorEastAsia" w:eastAsiaTheme="majorEastAsia" w:cstheme="majorEastAsia"/>
          <w:sz w:val="24"/>
          <w:szCs w:val="24"/>
        </w:rPr>
      </w:pPr>
      <w:bookmarkStart w:id="3" w:name="_GoBack"/>
      <w:bookmarkEnd w:id="3"/>
      <w:r>
        <w:rPr>
          <w:rFonts w:hint="eastAsia" w:asciiTheme="majorEastAsia" w:hAnsiTheme="majorEastAsia" w:eastAsiaTheme="majorEastAsia" w:cstheme="majorEastAsia"/>
          <w:sz w:val="24"/>
          <w:szCs w:val="24"/>
        </w:rPr>
        <w:t>12. 审核组组长（签字）：                                日期：</w:t>
      </w:r>
    </w:p>
    <w:p>
      <w:pPr>
        <w:snapToGrid w:val="0"/>
        <w:spacing w:line="400" w:lineRule="exact"/>
        <w:ind w:right="-512" w:rightChars="-244" w:firstLine="480"/>
        <w:rPr>
          <w:rFonts w:asciiTheme="majorEastAsia" w:hAnsiTheme="majorEastAsia" w:eastAsiaTheme="majorEastAsia" w:cstheme="majorEastAsia"/>
          <w:sz w:val="24"/>
          <w:szCs w:val="24"/>
        </w:rPr>
      </w:pPr>
    </w:p>
    <w:p>
      <w:pPr>
        <w:snapToGrid w:val="0"/>
        <w:spacing w:line="400" w:lineRule="exact"/>
        <w:ind w:right="-512" w:rightChars="-244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13.审核组成员(签字)：                                  日期：</w:t>
      </w:r>
    </w:p>
    <w:p>
      <w:pPr>
        <w:widowControl/>
        <w:spacing w:line="276" w:lineRule="auto"/>
        <w:ind w:right="945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pacing w:line="276" w:lineRule="auto"/>
        <w:ind w:right="945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四、报告审查人意见</w:t>
      </w:r>
    </w:p>
    <w:p>
      <w:pPr>
        <w:widowControl/>
        <w:spacing w:line="276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276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审查人员（签字）：                                     日期：</w:t>
      </w:r>
    </w:p>
    <w:p>
      <w:pPr>
        <w:widowControl/>
        <w:spacing w:line="276" w:lineRule="auto"/>
        <w:ind w:right="1050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pacing w:line="276" w:lineRule="auto"/>
        <w:ind w:right="10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五、 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认证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机构</w:t>
      </w:r>
      <w:r>
        <w:rPr>
          <w:rFonts w:ascii="宋体" w:hAnsi="宋体" w:eastAsia="宋体" w:cs="宋体"/>
          <w:b/>
          <w:kern w:val="0"/>
          <w:sz w:val="24"/>
          <w:szCs w:val="24"/>
        </w:rPr>
        <w:t>负责人</w:t>
      </w:r>
      <w:r>
        <w:rPr>
          <w:rFonts w:hint="eastAsia" w:ascii="宋体" w:hAnsi="宋体" w:eastAsia="宋体" w:cs="宋体"/>
          <w:kern w:val="0"/>
          <w:sz w:val="24"/>
          <w:szCs w:val="24"/>
        </w:rPr>
        <w:t>(</w:t>
      </w:r>
      <w:r>
        <w:rPr>
          <w:rFonts w:ascii="宋体" w:hAnsi="宋体" w:eastAsia="宋体" w:cs="宋体"/>
          <w:kern w:val="0"/>
          <w:sz w:val="24"/>
          <w:szCs w:val="24"/>
        </w:rPr>
        <w:t>签字</w:t>
      </w:r>
      <w:r>
        <w:rPr>
          <w:rFonts w:hint="eastAsia" w:ascii="宋体" w:hAnsi="宋体" w:eastAsia="宋体" w:cs="宋体"/>
          <w:kern w:val="0"/>
          <w:sz w:val="24"/>
          <w:szCs w:val="24"/>
        </w:rPr>
        <w:t>)</w:t>
      </w:r>
      <w:r>
        <w:rPr>
          <w:rFonts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kern w:val="0"/>
          <w:sz w:val="24"/>
          <w:szCs w:val="24"/>
        </w:rPr>
        <w:t>日期：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64448860"/>
    </w:sdtPr>
    <w:sdtContent>
      <w:sdt>
        <w:sdtPr>
          <w:id w:val="1728636285"/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2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-248285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  <w:r>
      <w:rPr>
        <w:rFonts w:hint="eastAsia"/>
      </w:rPr>
      <w:t xml:space="preserve">   </w:t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文本框 1" o:spid="_x0000_s4097" o:spt="202" type="#_x0000_t202" style="position:absolute;left:0pt;margin-left:288.95pt;margin-top:15.6pt;height:20.6pt;width:173.9pt;z-index:251659264;mso-width-relative:page;mso-height-relative:page;" stroked="f" coordsize="21600,21600" o:gfxdata="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O0Y&#10;L+jYAAAACQEAAA8AAAAAAAAAAQAgAAAAIgAAAGRycy9kb3ducmV2LnhtbFBLAQIUABQAAAAIAIdO&#10;4kAP11JVsQEAAEADAAAOAAAAAAAAAAEAIAAAACcBAABkcnMvZTJvRG9jLnhtbFBLBQYAAAAABgAG&#10;AFkBAABKBQAAAAA=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A-II</w:t>
                </w:r>
                <w:r>
                  <w:rPr>
                    <w:rFonts w:ascii="Times New Roman" w:hAnsi="Times New Roman" w:cs="Times New Roman"/>
                    <w:szCs w:val="21"/>
                  </w:rPr>
                  <w:t>-1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2</w:t>
                </w:r>
                <w:r>
                  <w:rPr>
                    <w:rFonts w:hint="eastAsia"/>
                    <w:szCs w:val="21"/>
                  </w:rPr>
                  <w:t xml:space="preserve"> 监督审核报告</w:t>
                </w:r>
                <w:r>
                  <w:rPr>
                    <w:rFonts w:ascii="Times New Roman" w:hAnsi="Times New Roman" w:cs="Times New Roman"/>
                    <w:szCs w:val="21"/>
                  </w:rPr>
                  <w:t>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9"/>
        <w:rFonts w:hint="default"/>
        <w:szCs w:val="21"/>
      </w:rPr>
      <w:t xml:space="preserve">   </w: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szCs w:val="21"/>
      </w:rPr>
      <w:t xml:space="preserve">   </w:t>
    </w:r>
    <w:r>
      <w:rPr>
        <w:rStyle w:val="9"/>
        <w:rFonts w:hint="default" w:ascii="Times New Roman" w:hAnsi="Times New Roman" w:cs="Times New Roman"/>
        <w:w w:val="80"/>
        <w:szCs w:val="21"/>
      </w:rPr>
      <w:t xml:space="preserve">Beijing International Standard united Certification Co.,Ltd. </w:t>
    </w:r>
    <w:r>
      <w:rPr>
        <w:rStyle w:val="9"/>
        <w:rFonts w:hint="default"/>
        <w:w w:val="90"/>
        <w:sz w:val="18"/>
      </w:rPr>
      <w:t xml:space="preserve">                     </w:t>
    </w:r>
  </w:p>
  <w:p>
    <w:pPr>
      <w:rPr>
        <w:sz w:val="18"/>
        <w:szCs w:val="18"/>
      </w:rPr>
    </w:pPr>
    <w:r>
      <w:rPr>
        <w:sz w:val="18"/>
      </w:rPr>
      <w:pict>
        <v:line id="直线 3" o:spid="_x0000_s4098" o:spt="20" style="position:absolute;left:0pt;margin-left:-23.7pt;margin-top:2.35pt;height:0.7pt;width:460.6pt;z-index:251660288;mso-width-relative:page;mso-height-relative:page;" coordsize="21600,21600" o:gfxdata="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peOcJ1AAAAAUBAAAPAAAAAAAAAAEAIAAAACIAAABk&#10;cnMvZG93bnJldi54bWxQSwECFAAUAAAACACHTuJAGFGqw9EBAACQAwAADgAAAAAAAAABACAAAAAj&#10;AQAAZHJzL2Uyb0RvYy54bWxQSwUGAAAAAAYABgBZAQAAZgUAAAAA&#10;">
          <v:path arrowok="t"/>
          <v:fill focussize="0,0"/>
          <v:stroke/>
          <v:imagedata o:title=""/>
          <o:lock v:ext="edit"/>
        </v:line>
      </w:pict>
    </w:r>
    <w:bookmarkEnd w:id="2"/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E7A58"/>
    <w:multiLevelType w:val="singleLevel"/>
    <w:tmpl w:val="583E7A58"/>
    <w:lvl w:ilvl="0" w:tentative="0">
      <w:start w:val="8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2605"/>
    <w:rsid w:val="00032845"/>
    <w:rsid w:val="000D737A"/>
    <w:rsid w:val="0012312B"/>
    <w:rsid w:val="001571C2"/>
    <w:rsid w:val="001A1793"/>
    <w:rsid w:val="002569B6"/>
    <w:rsid w:val="002701A1"/>
    <w:rsid w:val="0030082D"/>
    <w:rsid w:val="003C25DA"/>
    <w:rsid w:val="003F21F1"/>
    <w:rsid w:val="004965DE"/>
    <w:rsid w:val="004A5891"/>
    <w:rsid w:val="004D7195"/>
    <w:rsid w:val="00504944"/>
    <w:rsid w:val="00524180"/>
    <w:rsid w:val="005912DB"/>
    <w:rsid w:val="00622FCA"/>
    <w:rsid w:val="00690C29"/>
    <w:rsid w:val="00694890"/>
    <w:rsid w:val="006B2605"/>
    <w:rsid w:val="00742DD4"/>
    <w:rsid w:val="007609C2"/>
    <w:rsid w:val="00795D58"/>
    <w:rsid w:val="007B16DA"/>
    <w:rsid w:val="007B7405"/>
    <w:rsid w:val="00822A88"/>
    <w:rsid w:val="00842859"/>
    <w:rsid w:val="00847DEA"/>
    <w:rsid w:val="00863661"/>
    <w:rsid w:val="00880CD0"/>
    <w:rsid w:val="008A03D9"/>
    <w:rsid w:val="0094582B"/>
    <w:rsid w:val="009954C3"/>
    <w:rsid w:val="009C6468"/>
    <w:rsid w:val="009D387A"/>
    <w:rsid w:val="009D4C3A"/>
    <w:rsid w:val="009E059D"/>
    <w:rsid w:val="009E2F11"/>
    <w:rsid w:val="00A03794"/>
    <w:rsid w:val="00A520FA"/>
    <w:rsid w:val="00A71D09"/>
    <w:rsid w:val="00AA57FD"/>
    <w:rsid w:val="00AF6EBD"/>
    <w:rsid w:val="00B063C4"/>
    <w:rsid w:val="00B66C8C"/>
    <w:rsid w:val="00C536C5"/>
    <w:rsid w:val="00CB3AA9"/>
    <w:rsid w:val="00CC18AF"/>
    <w:rsid w:val="00D85083"/>
    <w:rsid w:val="00DC4708"/>
    <w:rsid w:val="00DC4CAB"/>
    <w:rsid w:val="00E1650B"/>
    <w:rsid w:val="00E25942"/>
    <w:rsid w:val="00E57204"/>
    <w:rsid w:val="00EA1DBB"/>
    <w:rsid w:val="00EC5C29"/>
    <w:rsid w:val="00F337FF"/>
    <w:rsid w:val="00F91504"/>
    <w:rsid w:val="00F93FAD"/>
    <w:rsid w:val="00FA2B0D"/>
    <w:rsid w:val="00FB5DA3"/>
    <w:rsid w:val="00FC32BD"/>
    <w:rsid w:val="00FD399A"/>
    <w:rsid w:val="00FD533E"/>
    <w:rsid w:val="00FF3F0A"/>
    <w:rsid w:val="016558DF"/>
    <w:rsid w:val="02713DE6"/>
    <w:rsid w:val="031033A0"/>
    <w:rsid w:val="033B5CDB"/>
    <w:rsid w:val="04C73FC4"/>
    <w:rsid w:val="04E30A5C"/>
    <w:rsid w:val="0A094552"/>
    <w:rsid w:val="0A323532"/>
    <w:rsid w:val="0A775599"/>
    <w:rsid w:val="0A8D3B5D"/>
    <w:rsid w:val="0C084F08"/>
    <w:rsid w:val="0C7E0587"/>
    <w:rsid w:val="0FE9299A"/>
    <w:rsid w:val="127E0B96"/>
    <w:rsid w:val="129F7930"/>
    <w:rsid w:val="12B64FA9"/>
    <w:rsid w:val="188C1F0E"/>
    <w:rsid w:val="18CB6F16"/>
    <w:rsid w:val="19A413A0"/>
    <w:rsid w:val="19D6385A"/>
    <w:rsid w:val="1CF61667"/>
    <w:rsid w:val="1D5E1F47"/>
    <w:rsid w:val="230C34C6"/>
    <w:rsid w:val="241D2BA6"/>
    <w:rsid w:val="27554591"/>
    <w:rsid w:val="28A80D34"/>
    <w:rsid w:val="2A245E01"/>
    <w:rsid w:val="2A285A71"/>
    <w:rsid w:val="2B780E22"/>
    <w:rsid w:val="2CBE6CFB"/>
    <w:rsid w:val="2E5B5214"/>
    <w:rsid w:val="2F445061"/>
    <w:rsid w:val="2FB04B8A"/>
    <w:rsid w:val="31C55888"/>
    <w:rsid w:val="3446742A"/>
    <w:rsid w:val="358B73C9"/>
    <w:rsid w:val="37242699"/>
    <w:rsid w:val="37741D7F"/>
    <w:rsid w:val="39BC2E67"/>
    <w:rsid w:val="3B8804CA"/>
    <w:rsid w:val="3E013270"/>
    <w:rsid w:val="3E17485C"/>
    <w:rsid w:val="3F5858D5"/>
    <w:rsid w:val="414525C3"/>
    <w:rsid w:val="42C12604"/>
    <w:rsid w:val="434C2946"/>
    <w:rsid w:val="45067D82"/>
    <w:rsid w:val="493E2E22"/>
    <w:rsid w:val="497F7F15"/>
    <w:rsid w:val="49C14E74"/>
    <w:rsid w:val="4AD5310A"/>
    <w:rsid w:val="4CA34699"/>
    <w:rsid w:val="4E893382"/>
    <w:rsid w:val="4F0661BE"/>
    <w:rsid w:val="518267FB"/>
    <w:rsid w:val="51C16409"/>
    <w:rsid w:val="51C71D47"/>
    <w:rsid w:val="547533AA"/>
    <w:rsid w:val="548B7075"/>
    <w:rsid w:val="57FE23F6"/>
    <w:rsid w:val="58082CF0"/>
    <w:rsid w:val="594C3C63"/>
    <w:rsid w:val="59870B47"/>
    <w:rsid w:val="5B1B4A1C"/>
    <w:rsid w:val="5C8E7FA8"/>
    <w:rsid w:val="5D510080"/>
    <w:rsid w:val="5F796BE8"/>
    <w:rsid w:val="61A667FC"/>
    <w:rsid w:val="626A4CB3"/>
    <w:rsid w:val="6500366B"/>
    <w:rsid w:val="652B7AD0"/>
    <w:rsid w:val="670B6B3E"/>
    <w:rsid w:val="686F6ECD"/>
    <w:rsid w:val="6A867F5A"/>
    <w:rsid w:val="6C353291"/>
    <w:rsid w:val="6C630141"/>
    <w:rsid w:val="6D7709DC"/>
    <w:rsid w:val="6E8C3ECA"/>
    <w:rsid w:val="6F423AB6"/>
    <w:rsid w:val="6FE210AD"/>
    <w:rsid w:val="70554457"/>
    <w:rsid w:val="707F0D4F"/>
    <w:rsid w:val="718C7A67"/>
    <w:rsid w:val="72EC71F4"/>
    <w:rsid w:val="74832446"/>
    <w:rsid w:val="79235E52"/>
    <w:rsid w:val="79E1462E"/>
    <w:rsid w:val="7ADB12A4"/>
    <w:rsid w:val="7AFB53C7"/>
    <w:rsid w:val="7B163E11"/>
    <w:rsid w:val="7BBB0464"/>
    <w:rsid w:val="7D8050C6"/>
    <w:rsid w:val="7F44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5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0">
    <w:name w:val="Font Style99"/>
    <w:qFormat/>
    <w:uiPriority w:val="0"/>
    <w:rPr>
      <w:rFonts w:ascii="黑体" w:eastAsia="黑体" w:cs="黑体"/>
      <w:sz w:val="20"/>
      <w:szCs w:val="20"/>
    </w:rPr>
  </w:style>
  <w:style w:type="paragraph" w:customStyle="1" w:styleId="11">
    <w:name w:val="列出段落2"/>
    <w:basedOn w:val="1"/>
    <w:qFormat/>
    <w:uiPriority w:val="99"/>
    <w:pPr>
      <w:ind w:firstLine="420" w:firstLineChars="200"/>
    </w:pPr>
  </w:style>
  <w:style w:type="character" w:customStyle="1" w:styleId="12">
    <w:name w:val="Font Style137"/>
    <w:qFormat/>
    <w:uiPriority w:val="0"/>
    <w:rPr>
      <w:rFonts w:ascii="黑体" w:eastAsia="黑体" w:cs="黑体"/>
      <w:sz w:val="20"/>
      <w:szCs w:val="20"/>
    </w:rPr>
  </w:style>
  <w:style w:type="character" w:customStyle="1" w:styleId="13">
    <w:name w:val="批注框文本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217F2C-294B-4271-B4C9-38CD6C44A0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434</Words>
  <Characters>2474</Characters>
  <Lines>20</Lines>
  <Paragraphs>5</Paragraphs>
  <TotalTime>1</TotalTime>
  <ScaleCrop>false</ScaleCrop>
  <LinksUpToDate>false</LinksUpToDate>
  <CharactersWithSpaces>2903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2015-10-10T03:59:00Z</dcterms:created>
  <dc:creator>alexander chang</dc:creator>
  <cp:lastModifiedBy>win8</cp:lastModifiedBy>
  <cp:lastPrinted>2019-11-18T03:57:00Z</cp:lastPrinted>
  <dcterms:modified xsi:type="dcterms:W3CDTF">2020-05-13T02:10:36Z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